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4CBB0" w14:textId="4104D9AA" w:rsidR="000E7702" w:rsidRDefault="000E7702" w:rsidP="000E7702">
      <w:pPr>
        <w:rPr>
          <w:b/>
          <w:bCs/>
        </w:rPr>
      </w:pPr>
      <w:r>
        <w:rPr>
          <w:b/>
          <w:bCs/>
        </w:rPr>
        <w:t>Проців Олег</w:t>
      </w:r>
    </w:p>
    <w:bookmarkStart w:id="0" w:name="_Hlk216566297"/>
    <w:p w14:paraId="02963E55" w14:textId="28AA1503" w:rsidR="000E7702" w:rsidRDefault="000E7702" w:rsidP="000E7702">
      <w:r w:rsidRPr="000E7702">
        <w:rPr>
          <w:b/>
          <w:bCs/>
        </w:rPr>
        <w:fldChar w:fldCharType="begin"/>
      </w:r>
      <w:r w:rsidRPr="000E7702">
        <w:rPr>
          <w:b/>
          <w:bCs/>
        </w:rPr>
        <w:instrText>HYPERLINK "https://vilneslovo.com/%d0%b2-%d1%83%d0%ba%d1%80%d0%b0%d1%97%d0%bd%d1%96-%d0%bc%d0%b0%d1%94-%d0%b1%d1%83%d1%82%d0%b8-%d0%b1%d0%b0%d0%b7%d0%b0-%d0%b4%d0%b0%d0%bd%d0%b8%d1%85-%d0%bc%d0%b8%d1%81%d0%bb%d0%b8%d0%b2%d0%b5/"</w:instrText>
      </w:r>
      <w:r w:rsidRPr="000E7702">
        <w:rPr>
          <w:b/>
          <w:bCs/>
        </w:rPr>
      </w:r>
      <w:r w:rsidRPr="000E7702">
        <w:rPr>
          <w:b/>
          <w:bCs/>
        </w:rPr>
        <w:fldChar w:fldCharType="separate"/>
      </w:r>
      <w:r w:rsidRPr="000E7702">
        <w:rPr>
          <w:rStyle w:val="ae"/>
          <w:b/>
          <w:bCs/>
        </w:rPr>
        <w:t>В Україні має бути база даних «Мисливець»</w:t>
      </w:r>
      <w:r w:rsidRPr="000E7702">
        <w:fldChar w:fldCharType="end"/>
      </w:r>
    </w:p>
    <w:p w14:paraId="55B2C645" w14:textId="4EEBAE65" w:rsidR="000E7702" w:rsidRDefault="00F95518" w:rsidP="000E7702">
      <w:pPr>
        <w:rPr>
          <w:b/>
          <w:bCs/>
        </w:rPr>
      </w:pPr>
      <w:hyperlink r:id="rId4" w:history="1">
        <w:proofErr w:type="spellStart"/>
        <w:r w:rsidRPr="00E531EA">
          <w:rPr>
            <w:rStyle w:val="ae"/>
            <w:b/>
            <w:bCs/>
          </w:rPr>
          <w:t>https</w:t>
        </w:r>
        <w:proofErr w:type="spellEnd"/>
        <w:r w:rsidRPr="00E531EA">
          <w:rPr>
            <w:rStyle w:val="ae"/>
            <w:b/>
            <w:bCs/>
          </w:rPr>
          <w:t>://</w:t>
        </w:r>
        <w:proofErr w:type="spellStart"/>
        <w:r w:rsidRPr="00E531EA">
          <w:rPr>
            <w:rStyle w:val="ae"/>
            <w:b/>
            <w:bCs/>
          </w:rPr>
          <w:t>doi.org</w:t>
        </w:r>
        <w:proofErr w:type="spellEnd"/>
        <w:r w:rsidRPr="00E531EA">
          <w:rPr>
            <w:rStyle w:val="ae"/>
            <w:b/>
            <w:bCs/>
          </w:rPr>
          <w:t>/10.5281/</w:t>
        </w:r>
        <w:proofErr w:type="spellStart"/>
        <w:r w:rsidRPr="00E531EA">
          <w:rPr>
            <w:rStyle w:val="ae"/>
            <w:b/>
            <w:bCs/>
          </w:rPr>
          <w:t>zenodo.17925027</w:t>
        </w:r>
        <w:proofErr w:type="spellEnd"/>
      </w:hyperlink>
    </w:p>
    <w:p w14:paraId="5A086C3C" w14:textId="77777777" w:rsidR="00F95518" w:rsidRPr="000E7702" w:rsidRDefault="00F95518" w:rsidP="000E7702">
      <w:pPr>
        <w:rPr>
          <w:b/>
          <w:bCs/>
        </w:rPr>
      </w:pPr>
    </w:p>
    <w:p w14:paraId="1B9FCBC8" w14:textId="5D75D6FA" w:rsidR="000A1815" w:rsidRDefault="000E7702">
      <w:hyperlink r:id="rId5" w:history="1">
        <w:r w:rsidRPr="00E531EA">
          <w:rPr>
            <w:rStyle w:val="ae"/>
          </w:rPr>
          <w:t>https://vilneslovo.com/%d0%b2-%d1%83%d0%ba%d1%80%d0%b0%d1%97%d0%bd%d1%96-%d0%bc%d0%b0%d1%94-%d0%b1%d1%83%d1%82%d0%b8-%d0%b1%d0%b0%d0%b7%d0%b0-%d0%b4%d0%b0%d0%bd%d0%b8%d1%85-%d0%bc%d0%b8%d1%81%d0%bb%d0%b8%d0%b2%d0%b5/</w:t>
        </w:r>
      </w:hyperlink>
    </w:p>
    <w:bookmarkEnd w:id="0"/>
    <w:p w14:paraId="671BAFDA" w14:textId="77777777" w:rsidR="000E7702" w:rsidRDefault="000E7702"/>
    <w:p w14:paraId="766C7019" w14:textId="77777777" w:rsidR="000E7702" w:rsidRPr="000E7702" w:rsidRDefault="000E7702" w:rsidP="000E7702">
      <w:r w:rsidRPr="000E7702">
        <w:rPr>
          <w:b/>
          <w:bCs/>
          <w:i/>
          <w:iCs/>
        </w:rPr>
        <w:t>Влада працює у напрямі налагодження діалогу з громадянами та впорядкуванням роботи з надання адміністративних послуг. Але досі залишаються проблеми, котрі не було усунуто впродовж останніх 20 років – зокрема це стосується створення бази даних «Мисливець», яка дозволила б нарешті налагодити ведення обліку добутої дичини.</w:t>
      </w:r>
    </w:p>
    <w:p w14:paraId="3537ED0C" w14:textId="3C371840" w:rsidR="000E7702" w:rsidRPr="000E7702" w:rsidRDefault="000E7702" w:rsidP="000E7702">
      <w:r w:rsidRPr="000E7702">
        <w:t> Одним з механізмів держави при організації покладених на неї функцій є надання адміністративних послуг. Власне, культура спілкування між суб’єктами – державними службовцями та об’єктами – отримувачами має значний вплив на формування загальної довіри до влади й позитивно впливає на політичну ситуацію в країні.</w:t>
      </w:r>
    </w:p>
    <w:p w14:paraId="7DD68845" w14:textId="491840F1" w:rsidR="000E7702" w:rsidRPr="000E7702" w:rsidRDefault="000E7702" w:rsidP="000E7702">
      <w:pPr>
        <w:rPr>
          <w:b/>
          <w:bCs/>
        </w:rPr>
      </w:pPr>
      <w:r w:rsidRPr="000E7702">
        <w:t> </w:t>
      </w:r>
      <w:r w:rsidRPr="000E7702">
        <w:rPr>
          <w:b/>
          <w:bCs/>
        </w:rPr>
        <w:t>Влада наводить лад у спілкуванні з громадянами через портал «Дія»</w:t>
      </w:r>
    </w:p>
    <w:p w14:paraId="11D8C5DE" w14:textId="05953B80" w:rsidR="000E7702" w:rsidRPr="000E7702" w:rsidRDefault="000E7702" w:rsidP="000E7702">
      <w:r w:rsidRPr="000E7702">
        <w:t> Розуміючи актуальність проблеми, сьогодні, 27.04.2020 р. Міністерство цифрової трансформації України анонсувало на порталі </w:t>
      </w:r>
      <w:r w:rsidRPr="000E7702">
        <w:rPr>
          <w:b/>
          <w:bCs/>
        </w:rPr>
        <w:t>«Дія»</w:t>
      </w:r>
      <w:r w:rsidRPr="000E7702">
        <w:t> створення електронного кабінету громадянина, де розміщується інформація з різних державних реєстрів.</w:t>
      </w:r>
    </w:p>
    <w:p w14:paraId="5688B32A" w14:textId="1147ABC4" w:rsidR="000E7702" w:rsidRPr="000E7702" w:rsidRDefault="000E7702" w:rsidP="000E7702">
      <w:r w:rsidRPr="000E7702">
        <w:t> Як відомо, у нашій країні вже створено велику кількість реєстрів – їх сьогодні навіть не десятки, а більше двох сотень. Реєстри й бази даних функціонують (якщо це можна так назвати) і підтримуються різними міністерствами, центральними органами виконавчої влади, іншими державними установами.</w:t>
      </w:r>
    </w:p>
    <w:p w14:paraId="356890F3" w14:textId="694182E6" w:rsidR="000E7702" w:rsidRPr="000E7702" w:rsidRDefault="000E7702" w:rsidP="000E7702">
      <w:r w:rsidRPr="000E7702">
        <w:t> Навіщо утримувати стільки реєстрів і баз даних? – спитаєте ви. Справа в тому, що створення кожного нового реєстру, скажімо, тим чи іншим міністерством передбачає виділення для цього коштів з державного бюджету. Практично в кожній сфері існують нерозв’язані проблеми, під які завжди можна обґрунтувати створення реєстру. Вирішувати проблеми, як виявилося, не так вигідно, як плодити реєстри, за допомогою яких можна отримувати гроші. Скільки становить вартість підтримки кожного реєстру? Ви собі не уявляєте – це сотні мільйонів гривень. При цьому технічний стан реєстрів є жахливим.</w:t>
      </w:r>
    </w:p>
    <w:p w14:paraId="5CD9FBAF" w14:textId="6DFEF673" w:rsidR="000E7702" w:rsidRPr="000E7702" w:rsidRDefault="000E7702" w:rsidP="000E7702">
      <w:pPr>
        <w:rPr>
          <w:b/>
          <w:bCs/>
        </w:rPr>
      </w:pPr>
      <w:r w:rsidRPr="000E7702">
        <w:t> </w:t>
      </w:r>
      <w:r w:rsidRPr="000E7702">
        <w:rPr>
          <w:b/>
          <w:bCs/>
        </w:rPr>
        <w:t>Реєстр мисливців є, а облік добутої дичини відсутній</w:t>
      </w:r>
    </w:p>
    <w:p w14:paraId="5EFD5508" w14:textId="78A1B08C" w:rsidR="000E7702" w:rsidRPr="000E7702" w:rsidRDefault="000E7702" w:rsidP="000E7702">
      <w:r w:rsidRPr="000E7702">
        <w:t> Одним з таких двохсот реєстрів є реєстр мисливців, де містяться відомості про громадян, які отримали </w:t>
      </w:r>
      <w:r w:rsidRPr="000E7702">
        <w:rPr>
          <w:b/>
          <w:bCs/>
          <w:i/>
          <w:iCs/>
        </w:rPr>
        <w:t>посвідчення мисливця</w:t>
      </w:r>
      <w:r w:rsidRPr="000E7702">
        <w:t xml:space="preserve">. Порядок видачі посвідчення мисливця і </w:t>
      </w:r>
      <w:r w:rsidRPr="000E7702">
        <w:lastRenderedPageBreak/>
        <w:t>контрольної картки обліку добутої дичини й порушень правил полювання було затверджено наказом Міністерства аграрної </w:t>
      </w:r>
      <w:hyperlink r:id="rId6" w:history="1">
        <w:r w:rsidRPr="000E7702">
          <w:rPr>
            <w:rStyle w:val="ae"/>
          </w:rPr>
          <w:t> політики</w:t>
        </w:r>
      </w:hyperlink>
      <w:r w:rsidRPr="000E7702">
        <w:t> та продовольства (далі – Мінагрополітики) України від 01.10.2014 р. № 383.</w:t>
      </w:r>
    </w:p>
    <w:p w14:paraId="37B407E5" w14:textId="77777777" w:rsidR="000E7702" w:rsidRPr="000E7702" w:rsidRDefault="000E7702" w:rsidP="000E7702">
      <w:r w:rsidRPr="000E7702">
        <w:t>Політика</w:t>
      </w:r>
    </w:p>
    <w:p w14:paraId="5B1F96AE" w14:textId="1E853DD4" w:rsidR="000E7702" w:rsidRPr="000E7702" w:rsidRDefault="000E7702" w:rsidP="000E7702">
      <w:r w:rsidRPr="000E7702">
        <w:t> Однак серйозні проблеми галузі мисливського господарства виникли набагато раніше. Впродовж 20 років – відколи існує положення законодавства щодо впровадження контрольної картки обліку добутої дичини, реального обліку дичини не існує. Причиною є </w:t>
      </w:r>
      <w:hyperlink r:id="rId7" w:history="1">
        <w:r w:rsidRPr="000E7702">
          <w:rPr>
            <w:rStyle w:val="ae"/>
            <w:b/>
            <w:bCs/>
          </w:rPr>
          <w:t>відсутність загальнонаціональної бази даних мисливців</w:t>
        </w:r>
      </w:hyperlink>
      <w:r w:rsidRPr="000E7702">
        <w:t>, тому просто немає, куди вносити кількість добутої дичини.</w:t>
      </w:r>
    </w:p>
    <w:p w14:paraId="0786DC6A" w14:textId="69CDFD8F" w:rsidR="000E7702" w:rsidRPr="000E7702" w:rsidRDefault="000E7702" w:rsidP="000E7702">
      <w:r w:rsidRPr="000E7702">
        <w:t> Здавалося б, Мінагрополітики України, яке формує державну політику у галузі мисливства повинно бути зацікавлене у вирішенні наявних проблем. Для того, щоб на більш якісному рівні внормувати суспільні відносини у галузі мисливського господарства, достатньо підтримувати комунікацію з громадянами, які подають аргументовані пропозиції. Без налагодженого діалогу органів влади з українцями, в інтересах яких вони всі працюють, жодних зрушень досягти неможливо.</w:t>
      </w:r>
    </w:p>
    <w:p w14:paraId="511565CD" w14:textId="06C25F48" w:rsidR="000E7702" w:rsidRPr="000E7702" w:rsidRDefault="000E7702" w:rsidP="000E7702">
      <w:r w:rsidRPr="000E7702">
        <w:t xml:space="preserve"> Втім, як приклад, Мінагрополітики не стало розглядати моє звернення стосовно розв’язання вищеописаної проблеми, і відправило його листом від 10.01.2019 р. № 37-13-16/330 на розгляд до </w:t>
      </w:r>
      <w:proofErr w:type="spellStart"/>
      <w:r w:rsidRPr="000E7702">
        <w:t>Держлісагентства</w:t>
      </w:r>
      <w:proofErr w:type="spellEnd"/>
      <w:r w:rsidRPr="000E7702">
        <w:t xml:space="preserve">. Саме </w:t>
      </w:r>
      <w:proofErr w:type="spellStart"/>
      <w:r w:rsidRPr="000E7702">
        <w:t>Держлісагентство</w:t>
      </w:r>
      <w:proofErr w:type="spellEnd"/>
      <w:r w:rsidRPr="000E7702">
        <w:t>, відповідно до чинного законодавства, реалізовує державну політику у галузі мисливського господарства.</w:t>
      </w:r>
    </w:p>
    <w:p w14:paraId="45D8B8FD" w14:textId="377E63AB" w:rsidR="000E7702" w:rsidRPr="000E7702" w:rsidRDefault="000E7702" w:rsidP="000E7702">
      <w:pPr>
        <w:rPr>
          <w:b/>
          <w:bCs/>
        </w:rPr>
      </w:pPr>
      <w:r w:rsidRPr="000E7702">
        <w:t> </w:t>
      </w:r>
      <w:r w:rsidRPr="000E7702">
        <w:rPr>
          <w:b/>
          <w:bCs/>
        </w:rPr>
        <w:t>Проблеми отримання посвідчення мисливця та контрольної картки</w:t>
      </w:r>
    </w:p>
    <w:p w14:paraId="23847252" w14:textId="2A2A6556" w:rsidR="000E7702" w:rsidRPr="000E7702" w:rsidRDefault="000E7702" w:rsidP="000E7702">
      <w:r w:rsidRPr="000E7702">
        <w:t> </w:t>
      </w:r>
      <w:proofErr w:type="spellStart"/>
      <w:r w:rsidRPr="000E7702">
        <w:t>Держлісагентство</w:t>
      </w:r>
      <w:proofErr w:type="spellEnd"/>
      <w:r w:rsidRPr="000E7702">
        <w:t xml:space="preserve"> не стало заперечувати актуальність проблеми. Як ішлося з одержаної мною відповіді (лист від 29.12.2018 р. за </w:t>
      </w:r>
      <w:proofErr w:type="spellStart"/>
      <w:r w:rsidRPr="000E7702">
        <w:t>вих</w:t>
      </w:r>
      <w:proofErr w:type="spellEnd"/>
      <w:r w:rsidRPr="000E7702">
        <w:t xml:space="preserve">. № 03-16/17353-18), </w:t>
      </w:r>
      <w:proofErr w:type="spellStart"/>
      <w:r w:rsidRPr="000E7702">
        <w:t>Держлісагентство</w:t>
      </w:r>
      <w:proofErr w:type="spellEnd"/>
      <w:r w:rsidRPr="000E7702">
        <w:t xml:space="preserve"> не спростувало і наведені мною аргументи стосовно того, що зараз бюджетні кошти витрачаються вхолосту на утримання державних службовців, які «товчуть воду в ступі», тоді як понад </w:t>
      </w:r>
      <w:r w:rsidRPr="000E7702">
        <w:rPr>
          <w:b/>
          <w:bCs/>
        </w:rPr>
        <w:t>300 тисяч громадян-мисливців</w:t>
      </w:r>
      <w:r w:rsidRPr="000E7702">
        <w:t> витрачають час на обмін контрольних карток.</w:t>
      </w:r>
    </w:p>
    <w:p w14:paraId="66E273B2" w14:textId="2167E78A" w:rsidR="000E7702" w:rsidRPr="000E7702" w:rsidRDefault="000E7702" w:rsidP="000E7702">
      <w:r w:rsidRPr="000E7702">
        <w:t xml:space="preserve"> Також </w:t>
      </w:r>
      <w:proofErr w:type="spellStart"/>
      <w:r w:rsidRPr="000E7702">
        <w:t>Держлісагентство</w:t>
      </w:r>
      <w:proofErr w:type="spellEnd"/>
      <w:r w:rsidRPr="000E7702">
        <w:t xml:space="preserve"> визнає наявність суттєвих технічних недоліків у функціонуванні загальної комп’ютерної програми (бази даних). Але вдосконалювати її потрібно поетапно, а це потребує часу. Крім того, процес отримання і використання виділених на цю роботу бюджетних коштів нерідко затягується через необхідність дотримання всіх формальностей щодо обліку і звітності.</w:t>
      </w:r>
    </w:p>
    <w:p w14:paraId="1A861A5D" w14:textId="3C54EF2A" w:rsidR="000E7702" w:rsidRPr="000E7702" w:rsidRDefault="000E7702" w:rsidP="000E7702">
      <w:r w:rsidRPr="000E7702">
        <w:t> </w:t>
      </w:r>
      <w:proofErr w:type="spellStart"/>
      <w:r w:rsidRPr="000E7702">
        <w:t>Держлісагентство</w:t>
      </w:r>
      <w:proofErr w:type="spellEnd"/>
      <w:r w:rsidRPr="000E7702">
        <w:t xml:space="preserve">, розуміючи, що при наданні адміністративних послуг в частині отримання посвідчення мисливця та контрольної картки є проблеми з тим, що їх можна отримати за місцем проживання, подало до Мінагрополітики проект наказу «Про внесення змін до наказу Міністерства аграрної політики та продовольства України від 1 жовтня 2014 р. № 383». У даному </w:t>
      </w:r>
      <w:proofErr w:type="spellStart"/>
      <w:r w:rsidRPr="000E7702">
        <w:t>проекті</w:t>
      </w:r>
      <w:proofErr w:type="spellEnd"/>
      <w:r w:rsidRPr="000E7702">
        <w:t xml:space="preserve"> запропоновано змінити порядок надання адміністративних послуг </w:t>
      </w:r>
      <w:proofErr w:type="spellStart"/>
      <w:r w:rsidRPr="000E7702">
        <w:t>Держлісагентством</w:t>
      </w:r>
      <w:proofErr w:type="spellEnd"/>
      <w:r w:rsidRPr="000E7702">
        <w:t xml:space="preserve"> та його територіальними органами, передбачивши можливості для громадян отримати їх незалежно від місця реєстрації.</w:t>
      </w:r>
    </w:p>
    <w:p w14:paraId="25AE2FCA" w14:textId="77777777" w:rsidR="000E7702" w:rsidRPr="000E7702" w:rsidRDefault="000E7702" w:rsidP="000E7702">
      <w:r w:rsidRPr="000E7702">
        <w:t>Політика</w:t>
      </w:r>
    </w:p>
    <w:p w14:paraId="1A9122C7" w14:textId="58FEA6E1" w:rsidR="000E7702" w:rsidRPr="000E7702" w:rsidRDefault="000E7702" w:rsidP="000E7702">
      <w:pPr>
        <w:rPr>
          <w:b/>
          <w:bCs/>
        </w:rPr>
      </w:pPr>
      <w:r w:rsidRPr="000E7702">
        <w:lastRenderedPageBreak/>
        <w:t> </w:t>
      </w:r>
      <w:r w:rsidRPr="000E7702">
        <w:rPr>
          <w:b/>
          <w:bCs/>
        </w:rPr>
        <w:t>Коли в Україні буде створено загальну базу даних «Мисливець»?</w:t>
      </w:r>
    </w:p>
    <w:p w14:paraId="2A4B7006" w14:textId="0524347F" w:rsidR="000E7702" w:rsidRPr="000E7702" w:rsidRDefault="000E7702" w:rsidP="000E7702">
      <w:r w:rsidRPr="000E7702">
        <w:t xml:space="preserve"> Свого часу, відповідно до національної програми інформатизації </w:t>
      </w:r>
      <w:proofErr w:type="spellStart"/>
      <w:r w:rsidRPr="000E7702">
        <w:t>Держліагентство</w:t>
      </w:r>
      <w:proofErr w:type="spellEnd"/>
      <w:r w:rsidRPr="000E7702">
        <w:t xml:space="preserve"> видало наказ «Про затвердження плану заходів з розвитку ІТ – інфраструктури Державного агентства лісових ресурсів України на 2019 рік», який лише передбачає створення загальної бази даних «Мисливець».</w:t>
      </w:r>
    </w:p>
    <w:p w14:paraId="6D9A4277" w14:textId="4F22CD20" w:rsidR="000E7702" w:rsidRPr="000E7702" w:rsidRDefault="000E7702" w:rsidP="000E7702">
      <w:r w:rsidRPr="000E7702">
        <w:t> Але це залишається наразі лише на рівні планів. База даних «Мисливець» буде створена після погодження планів з Мінагрополітики України та із зацікавленими органами виконавчої влади. Потім погоджені плани заходів мають пройти процедуру їх державної реєстрації в Міністерстві юстиції України. Більше того, навіть, якщо цей план буде затверджений, то варто нагадати, що термін виконання створення і впровадження бази даних «Мисливець» було заплановано на четвертий квартал минулого – 2019 року. А зараз за вікном – вже другий квартал 2020-го.</w:t>
      </w:r>
    </w:p>
    <w:p w14:paraId="34377025" w14:textId="25372212" w:rsidR="000E7702" w:rsidRPr="000E7702" w:rsidRDefault="000E7702" w:rsidP="000E7702">
      <w:r w:rsidRPr="000E7702">
        <w:t> Іншими словами, якщо вже двадцять років не було бази даних, то вона не з’явиться і в цьому році.</w:t>
      </w:r>
    </w:p>
    <w:p w14:paraId="4DD5FE6D" w14:textId="77777777" w:rsidR="000E7702" w:rsidRPr="000E7702" w:rsidRDefault="000E7702" w:rsidP="000E7702">
      <w:r w:rsidRPr="000E7702">
        <w:t> </w:t>
      </w:r>
    </w:p>
    <w:p w14:paraId="258E8446" w14:textId="77777777" w:rsidR="000E7702" w:rsidRPr="000E7702" w:rsidRDefault="000E7702" w:rsidP="000E7702">
      <w:r w:rsidRPr="000E7702">
        <w:t>Ще раз хочу нагадати, що дана база даних повинна ще бути створена 20 років тому. То ж цього року записи мисливців у контрольних картках обліку добутої дичини взагалі не будуть обліковуватись. Десятки працівників органів державної влади будуть рік вхолосту працювати, а 300 тис. мисливців витрачати – час і гроші на заміну нікому не потрібних карток.</w:t>
      </w:r>
    </w:p>
    <w:p w14:paraId="1868582A" w14:textId="06527AA1" w:rsidR="000E7702" w:rsidRPr="000E7702" w:rsidRDefault="000E7702" w:rsidP="000E7702">
      <w:r w:rsidRPr="000E7702">
        <w:t> А поки залишаються нерозв’язані проблеми, на них можна заробляти. Виходить так, що чим більше проблем, тим менш вигідно наводити лад і усувати недоліки. Однак допущений безлад і хаос завжди є наслідком порушення законодавства, за яким стоїть той чи інший конкретний чиновник – саме він має за це відповідати.</w:t>
      </w:r>
    </w:p>
    <w:p w14:paraId="2148D233" w14:textId="724619A3" w:rsidR="000E7702" w:rsidRPr="000E7702" w:rsidRDefault="000E7702" w:rsidP="000E7702">
      <w:r w:rsidRPr="000E7702">
        <w:t> Тому пропоную органам досудового розслідування вжити заходи, передбачені чинним законодавством. Зі свого боку, я готовий нести відповідальність за оприлюднення завідомо неправдивої інформації.</w:t>
      </w:r>
    </w:p>
    <w:p w14:paraId="01B4AD3F" w14:textId="77777777" w:rsidR="000E7702" w:rsidRPr="000E7702" w:rsidRDefault="000E7702" w:rsidP="000E7702">
      <w:r w:rsidRPr="000E7702">
        <w:t> </w:t>
      </w:r>
    </w:p>
    <w:p w14:paraId="0B66FEA4" w14:textId="77777777" w:rsidR="000E7702" w:rsidRPr="000E7702" w:rsidRDefault="000E7702" w:rsidP="000E7702">
      <w:r w:rsidRPr="000E7702">
        <w:rPr>
          <w:b/>
          <w:bCs/>
        </w:rPr>
        <w:t>Олег Проців,</w:t>
      </w:r>
    </w:p>
    <w:p w14:paraId="09438844" w14:textId="77777777" w:rsidR="000E7702" w:rsidRPr="000E7702" w:rsidRDefault="000E7702" w:rsidP="000E7702">
      <w:r w:rsidRPr="000E7702">
        <w:rPr>
          <w:b/>
          <w:bCs/>
        </w:rPr>
        <w:t>кандидат наук з державного управління,</w:t>
      </w:r>
    </w:p>
    <w:p w14:paraId="7ECF4306" w14:textId="77777777" w:rsidR="000E7702" w:rsidRPr="000E7702" w:rsidRDefault="000E7702" w:rsidP="000E7702">
      <w:r w:rsidRPr="000E7702">
        <w:rPr>
          <w:b/>
          <w:bCs/>
        </w:rPr>
        <w:t>м. Івано-Франківськ</w:t>
      </w:r>
    </w:p>
    <w:p w14:paraId="7F48F5A2" w14:textId="77777777" w:rsidR="000E7702" w:rsidRDefault="000E7702"/>
    <w:sectPr w:rsidR="000E770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ECD"/>
    <w:rsid w:val="000A1815"/>
    <w:rsid w:val="000E7702"/>
    <w:rsid w:val="00586ECD"/>
    <w:rsid w:val="00A93D6E"/>
    <w:rsid w:val="00B278DA"/>
    <w:rsid w:val="00F955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651D2"/>
  <w15:chartTrackingRefBased/>
  <w15:docId w15:val="{DBB52AEB-2EB4-4835-9B0A-449AF34B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86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86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86EC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86EC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86EC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86EC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86EC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86EC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86EC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6EC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86EC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86EC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86EC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86EC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86EC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86ECD"/>
    <w:rPr>
      <w:rFonts w:eastAsiaTheme="majorEastAsia" w:cstheme="majorBidi"/>
      <w:color w:val="595959" w:themeColor="text1" w:themeTint="A6"/>
    </w:rPr>
  </w:style>
  <w:style w:type="character" w:customStyle="1" w:styleId="80">
    <w:name w:val="Заголовок 8 Знак"/>
    <w:basedOn w:val="a0"/>
    <w:link w:val="8"/>
    <w:uiPriority w:val="9"/>
    <w:semiHidden/>
    <w:rsid w:val="00586EC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86ECD"/>
    <w:rPr>
      <w:rFonts w:eastAsiaTheme="majorEastAsia" w:cstheme="majorBidi"/>
      <w:color w:val="272727" w:themeColor="text1" w:themeTint="D8"/>
    </w:rPr>
  </w:style>
  <w:style w:type="paragraph" w:styleId="a3">
    <w:name w:val="Title"/>
    <w:basedOn w:val="a"/>
    <w:next w:val="a"/>
    <w:link w:val="a4"/>
    <w:uiPriority w:val="10"/>
    <w:qFormat/>
    <w:rsid w:val="00586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86E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6EC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86EC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86ECD"/>
    <w:pPr>
      <w:spacing w:before="160"/>
      <w:jc w:val="center"/>
    </w:pPr>
    <w:rPr>
      <w:i/>
      <w:iCs/>
      <w:color w:val="404040" w:themeColor="text1" w:themeTint="BF"/>
    </w:rPr>
  </w:style>
  <w:style w:type="character" w:customStyle="1" w:styleId="a8">
    <w:name w:val="Цитата Знак"/>
    <w:basedOn w:val="a0"/>
    <w:link w:val="a7"/>
    <w:uiPriority w:val="29"/>
    <w:rsid w:val="00586ECD"/>
    <w:rPr>
      <w:i/>
      <w:iCs/>
      <w:color w:val="404040" w:themeColor="text1" w:themeTint="BF"/>
    </w:rPr>
  </w:style>
  <w:style w:type="paragraph" w:styleId="a9">
    <w:name w:val="List Paragraph"/>
    <w:basedOn w:val="a"/>
    <w:uiPriority w:val="34"/>
    <w:qFormat/>
    <w:rsid w:val="00586ECD"/>
    <w:pPr>
      <w:ind w:left="720"/>
      <w:contextualSpacing/>
    </w:pPr>
  </w:style>
  <w:style w:type="character" w:styleId="aa">
    <w:name w:val="Intense Emphasis"/>
    <w:basedOn w:val="a0"/>
    <w:uiPriority w:val="21"/>
    <w:qFormat/>
    <w:rsid w:val="00586ECD"/>
    <w:rPr>
      <w:i/>
      <w:iCs/>
      <w:color w:val="0F4761" w:themeColor="accent1" w:themeShade="BF"/>
    </w:rPr>
  </w:style>
  <w:style w:type="paragraph" w:styleId="ab">
    <w:name w:val="Intense Quote"/>
    <w:basedOn w:val="a"/>
    <w:next w:val="a"/>
    <w:link w:val="ac"/>
    <w:uiPriority w:val="30"/>
    <w:qFormat/>
    <w:rsid w:val="00586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586ECD"/>
    <w:rPr>
      <w:i/>
      <w:iCs/>
      <w:color w:val="0F4761" w:themeColor="accent1" w:themeShade="BF"/>
    </w:rPr>
  </w:style>
  <w:style w:type="character" w:styleId="ad">
    <w:name w:val="Intense Reference"/>
    <w:basedOn w:val="a0"/>
    <w:uiPriority w:val="32"/>
    <w:qFormat/>
    <w:rsid w:val="00586ECD"/>
    <w:rPr>
      <w:b/>
      <w:bCs/>
      <w:smallCaps/>
      <w:color w:val="0F4761" w:themeColor="accent1" w:themeShade="BF"/>
      <w:spacing w:val="5"/>
    </w:rPr>
  </w:style>
  <w:style w:type="character" w:styleId="ae">
    <w:name w:val="Hyperlink"/>
    <w:basedOn w:val="a0"/>
    <w:uiPriority w:val="99"/>
    <w:unhideWhenUsed/>
    <w:rsid w:val="000E7702"/>
    <w:rPr>
      <w:color w:val="467886" w:themeColor="hyperlink"/>
      <w:u w:val="single"/>
    </w:rPr>
  </w:style>
  <w:style w:type="character" w:styleId="af">
    <w:name w:val="Unresolved Mention"/>
    <w:basedOn w:val="a0"/>
    <w:uiPriority w:val="99"/>
    <w:semiHidden/>
    <w:unhideWhenUsed/>
    <w:rsid w:val="000E7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ilneslovo.com/%d1%87%d0%be%d0%bc%d1%83-%d0%bd%d0%b0%d0%b7%d0%ba-%d1%96-%d0%bd%d0%b0%d0%b1%d1%83-%d0%bd%d0%b5-%d0%bf%d0%be%d0%bc%d1%96%d1%87%d0%b0%d1%8e%d1%82%d1%8c-%d0%bc%d1%96%d0%bb%d1%8c%d1%8f%d1%80%d0%b4%d0%b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lneslovo.com/%d0%b2-%d1%83%d0%ba%d1%80%d0%b0%d1%97%d0%bd%d1%96-%d0%bc%d0%b0%d1%94-%d0%b1%d1%83%d1%82%d0%b8-%d0%b1%d0%b0%d0%b7%d0%b0-%d0%b4%d0%b0%d0%bd%d0%b8%d1%85-%d0%bc%d0%b8%d1%81%d0%bb%d0%b8%d0%b2%d0%b5/" TargetMode="External"/><Relationship Id="rId5" Type="http://schemas.openxmlformats.org/officeDocument/2006/relationships/hyperlink" Target="https://vilneslovo.com/%d0%b2-%d1%83%d0%ba%d1%80%d0%b0%d1%97%d0%bd%d1%96-%d0%bc%d0%b0%d1%94-%d0%b1%d1%83%d1%82%d0%b8-%d0%b1%d0%b0%d0%b7%d0%b0-%d0%b4%d0%b0%d0%bd%d0%b8%d1%85-%d0%bc%d0%b8%d1%81%d0%bb%d0%b8%d0%b2%d0%b5/" TargetMode="External"/><Relationship Id="rId4" Type="http://schemas.openxmlformats.org/officeDocument/2006/relationships/hyperlink" Target="https://doi.org/10.5281/zenodo.17925027"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5106</Words>
  <Characters>2911</Characters>
  <Application>Microsoft Office Word</Application>
  <DocSecurity>0</DocSecurity>
  <Lines>24</Lines>
  <Paragraphs>16</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2025-12-13T22:54:00Z</dcterms:created>
  <dcterms:modified xsi:type="dcterms:W3CDTF">2025-12-13T22:58:00Z</dcterms:modified>
</cp:coreProperties>
</file>